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A3" w:rsidRDefault="00126BA3" w:rsidP="00126BA3">
      <w:pPr>
        <w:jc w:val="center"/>
      </w:pPr>
    </w:p>
    <w:tbl>
      <w:tblPr>
        <w:tblStyle w:val="Grilledutableau"/>
        <w:tblW w:w="5000" w:type="pct"/>
        <w:tblLook w:val="04A0"/>
      </w:tblPr>
      <w:tblGrid>
        <w:gridCol w:w="4313"/>
        <w:gridCol w:w="4975"/>
      </w:tblGrid>
      <w:tr w:rsidR="003254DB" w:rsidTr="0037365C">
        <w:trPr>
          <w:trHeight w:val="425"/>
        </w:trPr>
        <w:tc>
          <w:tcPr>
            <w:tcW w:w="2322" w:type="pct"/>
            <w:vAlign w:val="center"/>
          </w:tcPr>
          <w:p w:rsidR="003254DB" w:rsidRDefault="00126BA3" w:rsidP="00126BA3">
            <w:pPr>
              <w:jc w:val="center"/>
            </w:pPr>
            <w:proofErr w:type="spellStart"/>
            <w:r>
              <w:t>C</w:t>
            </w:r>
            <w:r w:rsidR="003254DB">
              <w:t>reepy</w:t>
            </w:r>
            <w:proofErr w:type="spellEnd"/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Terrifiant</w:t>
            </w:r>
          </w:p>
        </w:tc>
      </w:tr>
      <w:tr w:rsidR="003254DB" w:rsidTr="0037365C">
        <w:trPr>
          <w:trHeight w:val="403"/>
        </w:trPr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I Can </w:t>
            </w:r>
            <w:proofErr w:type="spellStart"/>
            <w:r>
              <w:t>handle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Je peux gérer ça !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To pull over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S’arrêter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Relapse 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Rechute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Casual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Occasionnel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Encounter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Rencontre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Casually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Avec désinvolture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Misunderstanding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Malentendu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</w:t>
            </w:r>
            <w:proofErr w:type="spellStart"/>
            <w:r>
              <w:t>rope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Corde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Licked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Léché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Valuable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Précieuse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To </w:t>
            </w:r>
            <w:proofErr w:type="spellStart"/>
            <w:r>
              <w:t>hang</w:t>
            </w:r>
            <w:proofErr w:type="spellEnd"/>
            <w:r>
              <w:t xml:space="preserve"> up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Raccrocher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</w:r>
            <w:proofErr w:type="spellStart"/>
            <w:r>
              <w:t>Letdown</w:t>
            </w:r>
            <w:proofErr w:type="spellEnd"/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Déception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</w:t>
            </w:r>
            <w:proofErr w:type="spellStart"/>
            <w:r>
              <w:t>commitment</w:t>
            </w:r>
            <w:proofErr w:type="spellEnd"/>
          </w:p>
          <w:p w:rsidR="00126BA3" w:rsidRDefault="00126BA3" w:rsidP="00126BA3">
            <w:pPr>
              <w:jc w:val="center"/>
            </w:pP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Engagement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  <w:t>Bald</w:t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Chauve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</w:r>
            <w:proofErr w:type="spellStart"/>
            <w:r>
              <w:t>Heel</w:t>
            </w:r>
            <w:proofErr w:type="spellEnd"/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Talon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Jammed</w:t>
            </w:r>
            <w:proofErr w:type="spellEnd"/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Coincé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br/>
              <w:t>To slip</w:t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Glisser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Ineffable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Inexplicable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Deaf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Sourd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Awkward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Maladroit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</w:t>
            </w:r>
            <w:proofErr w:type="spellStart"/>
            <w:r>
              <w:t>parrot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Perroquet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spare</w:t>
            </w:r>
            <w:proofErr w:type="spellEnd"/>
            <w:r>
              <w:t xml:space="preserve"> costume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Costume de rechange</w:t>
            </w:r>
          </w:p>
        </w:tc>
      </w:tr>
      <w:tr w:rsidR="003254DB" w:rsidTr="0037365C">
        <w:trPr>
          <w:trHeight w:val="553"/>
        </w:trPr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the </w:t>
            </w:r>
            <w:proofErr w:type="spellStart"/>
            <w:r>
              <w:t>odd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Chance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pumpkin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Citrouille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t>Cockroach</w:t>
            </w:r>
            <w:proofErr w:type="spellEnd"/>
            <w:r>
              <w:t xml:space="preserve"> </w:t>
            </w:r>
            <w:r>
              <w:br/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Cafard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Land lady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Propriétaire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proofErr w:type="spellStart"/>
            <w:r>
              <w:lastRenderedPageBreak/>
              <w:t>Picky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Difficile à satisfaire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fair</w:t>
            </w:r>
            <w:proofErr w:type="spellEnd"/>
            <w:r>
              <w:t xml:space="preserve">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Pour être honnête</w:t>
            </w:r>
          </w:p>
        </w:tc>
      </w:tr>
      <w:tr w:rsidR="003254DB" w:rsidTr="0037365C">
        <w:tc>
          <w:tcPr>
            <w:tcW w:w="2322" w:type="pct"/>
            <w:vAlign w:val="center"/>
          </w:tcPr>
          <w:p w:rsidR="003254DB" w:rsidRDefault="003254DB" w:rsidP="00126BA3">
            <w:pPr>
              <w:jc w:val="center"/>
            </w:pPr>
            <w:r>
              <w:t xml:space="preserve">A cop </w:t>
            </w:r>
            <w:r>
              <w:br/>
            </w:r>
          </w:p>
        </w:tc>
        <w:tc>
          <w:tcPr>
            <w:tcW w:w="2678" w:type="pct"/>
            <w:vAlign w:val="center"/>
          </w:tcPr>
          <w:p w:rsidR="003254DB" w:rsidRDefault="003254DB" w:rsidP="00126BA3">
            <w:pPr>
              <w:jc w:val="center"/>
            </w:pPr>
            <w:r>
              <w:t>Flic</w:t>
            </w:r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The apron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Tablier</w:t>
            </w:r>
            <w:proofErr w:type="spellEnd"/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To head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 </w:t>
            </w:r>
            <w:proofErr w:type="spellStart"/>
            <w:r>
              <w:rPr>
                <w:lang w:val="en-US"/>
              </w:rPr>
              <w:t>diriger</w:t>
            </w:r>
            <w:proofErr w:type="spellEnd"/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To yell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Crier</w:t>
            </w:r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Insane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Insensé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fou</w:t>
            </w:r>
            <w:proofErr w:type="spellEnd"/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Garlic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Ail</w:t>
            </w:r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Moronic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Cretin/imbecile</w:t>
            </w:r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 xml:space="preserve">Impressive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Impressionnant</w:t>
            </w:r>
            <w:proofErr w:type="spellEnd"/>
          </w:p>
        </w:tc>
      </w:tr>
      <w:tr w:rsidR="003254DB" w:rsidRPr="003254DB" w:rsidTr="0037365C">
        <w:trPr>
          <w:trHeight w:val="354"/>
        </w:trPr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Tickle </w:t>
            </w:r>
            <w:r w:rsidRPr="003254DB">
              <w:rPr>
                <w:lang w:val="en-US"/>
              </w:rPr>
              <w:br/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Chatouille</w:t>
            </w:r>
            <w:proofErr w:type="spellEnd"/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 w:rsidRPr="003254DB">
              <w:rPr>
                <w:lang w:val="en-US"/>
              </w:rPr>
              <w:t>To look forward to</w:t>
            </w:r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Avoir</w:t>
            </w:r>
            <w:proofErr w:type="spellEnd"/>
            <w:r>
              <w:rPr>
                <w:lang w:val="en-US"/>
              </w:rPr>
              <w:t xml:space="preserve"> hate</w:t>
            </w:r>
          </w:p>
        </w:tc>
      </w:tr>
      <w:tr w:rsidR="003254DB" w:rsidRPr="003254DB" w:rsidTr="0037365C">
        <w:tc>
          <w:tcPr>
            <w:tcW w:w="2322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r>
              <w:t xml:space="preserve">A </w:t>
            </w:r>
            <w:proofErr w:type="spellStart"/>
            <w:r>
              <w:t>lease</w:t>
            </w:r>
            <w:proofErr w:type="spellEnd"/>
          </w:p>
        </w:tc>
        <w:tc>
          <w:tcPr>
            <w:tcW w:w="2678" w:type="pct"/>
            <w:vAlign w:val="center"/>
          </w:tcPr>
          <w:p w:rsidR="003254DB" w:rsidRPr="003254DB" w:rsidRDefault="003254DB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Contrat</w:t>
            </w:r>
            <w:proofErr w:type="spellEnd"/>
          </w:p>
        </w:tc>
      </w:tr>
    </w:tbl>
    <w:p w:rsidR="00126BA3" w:rsidRDefault="00126BA3" w:rsidP="00126BA3">
      <w:pPr>
        <w:jc w:val="center"/>
        <w:rPr>
          <w:lang w:val="en-US"/>
        </w:rPr>
      </w:pPr>
    </w:p>
    <w:tbl>
      <w:tblPr>
        <w:tblStyle w:val="Grilledutableau"/>
        <w:tblW w:w="5000" w:type="pct"/>
        <w:tblLook w:val="04A0"/>
      </w:tblPr>
      <w:tblGrid>
        <w:gridCol w:w="3388"/>
        <w:gridCol w:w="5900"/>
      </w:tblGrid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Bottom</w:t>
            </w:r>
            <w:proofErr w:type="spellEnd"/>
            <w:r>
              <w:t xml:space="preserve"> </w:t>
            </w:r>
            <w:proofErr w:type="spellStart"/>
            <w:r>
              <w:t>bunk</w:t>
            </w:r>
            <w:proofErr w:type="spellEnd"/>
            <w:r>
              <w:t xml:space="preserve">/top </w:t>
            </w:r>
            <w:proofErr w:type="spellStart"/>
            <w:r>
              <w:t>bunk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couchette inférieure/couchette supérieure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Middle </w:t>
            </w:r>
            <w:proofErr w:type="spellStart"/>
            <w:r>
              <w:t>aged</w:t>
            </w:r>
            <w:proofErr w:type="spellEnd"/>
            <w:r>
              <w:t xml:space="preserve"> </w:t>
            </w:r>
            <w:proofErr w:type="spellStart"/>
            <w:r>
              <w:t>bachelor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célibataire d’âge moyen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Wedding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mariage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Awesome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Impressionnant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Beeswax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Cire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d’abeille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Lame (</w:t>
            </w:r>
            <w:proofErr w:type="spellStart"/>
            <w:r>
              <w:t>Engl</w:t>
            </w:r>
            <w:proofErr w:type="spellEnd"/>
            <w:r>
              <w:t>.)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Boiteux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Grab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Saisir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Bunch</w:t>
            </w:r>
            <w:proofErr w:type="spellEnd"/>
            <w:r>
              <w:t xml:space="preserve"> of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Tas</w:t>
            </w:r>
            <w:proofErr w:type="spellEnd"/>
            <w:r>
              <w:rPr>
                <w:lang w:val="en-US"/>
              </w:rPr>
              <w:t xml:space="preserve"> de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owe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Devoir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Hitchhiker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Auto-</w:t>
            </w:r>
            <w:proofErr w:type="spellStart"/>
            <w:r>
              <w:rPr>
                <w:lang w:val="en-US"/>
              </w:rPr>
              <w:t>stoppeur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dump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Déverser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Beyond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Au </w:t>
            </w:r>
            <w:proofErr w:type="spellStart"/>
            <w:r>
              <w:rPr>
                <w:lang w:val="en-US"/>
              </w:rPr>
              <w:t>delà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Deaf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Sourd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Fateful</w:t>
            </w:r>
            <w:proofErr w:type="spellEnd"/>
            <w:r>
              <w:t xml:space="preserve"> nap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Sieste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fatidique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Gorgeous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Magnifique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Sweaty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En </w:t>
            </w:r>
            <w:proofErr w:type="spellStart"/>
            <w:r>
              <w:rPr>
                <w:lang w:val="en-US"/>
              </w:rPr>
              <w:t>sueur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mortgage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Hypothéquer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A </w:t>
            </w:r>
            <w:proofErr w:type="spellStart"/>
            <w:r>
              <w:t>dare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Défi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unleash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 </w:t>
            </w:r>
            <w:proofErr w:type="spellStart"/>
            <w:r>
              <w:rPr>
                <w:lang w:val="en-US"/>
              </w:rPr>
              <w:t>libérer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Naked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Nu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Carved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Sculpté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willing</w:t>
            </w:r>
            <w:proofErr w:type="spellEnd"/>
            <w:r>
              <w:t xml:space="preserve"> to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Être</w:t>
            </w:r>
            <w:proofErr w:type="spellEnd"/>
            <w:r>
              <w:rPr>
                <w:lang w:val="en-US"/>
              </w:rPr>
              <w:t xml:space="preserve"> dispose à</w:t>
            </w:r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Soul mate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Âme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soeur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Tears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larmes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>To match up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Faire </w:t>
            </w:r>
            <w:proofErr w:type="spellStart"/>
            <w:r>
              <w:rPr>
                <w:lang w:val="en-US"/>
              </w:rPr>
              <w:t>correspondre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t>Uncanny</w:t>
            </w:r>
            <w:proofErr w:type="spellEnd"/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Étrange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r>
              <w:t xml:space="preserve">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glad</w:t>
            </w:r>
            <w:proofErr w:type="spellEnd"/>
            <w:r>
              <w:t> </w:t>
            </w:r>
          </w:p>
        </w:tc>
        <w:tc>
          <w:tcPr>
            <w:tcW w:w="3176" w:type="pct"/>
          </w:tcPr>
          <w:p w:rsidR="00126BA3" w:rsidRDefault="00126BA3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Être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heureux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 w:rsidRPr="007714A1">
              <w:rPr>
                <w:lang w:val="en-US"/>
              </w:rPr>
              <w:t>Truly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Vraiment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Homecoming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Retrouvailles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Span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Durée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Shelter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Abri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Logjam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Impasse</w:t>
            </w:r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freak out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Paniquer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round up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Arrondir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throw up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jeter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Wrinking</w:t>
            </w:r>
            <w:proofErr w:type="spellEnd"/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Rides</w:t>
            </w:r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 hug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Étreindre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Hazy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Brumeux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Pills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Pilule</w:t>
            </w:r>
            <w:proofErr w:type="spellEnd"/>
          </w:p>
        </w:tc>
      </w:tr>
      <w:tr w:rsidR="00126BA3" w:rsidTr="0037365C">
        <w:tc>
          <w:tcPr>
            <w:tcW w:w="1824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Ample bosom</w:t>
            </w:r>
          </w:p>
        </w:tc>
        <w:tc>
          <w:tcPr>
            <w:tcW w:w="3176" w:type="pct"/>
          </w:tcPr>
          <w:p w:rsidR="00126BA3" w:rsidRDefault="0037365C" w:rsidP="00126BA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Poitrine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généreuse</w:t>
            </w:r>
            <w:proofErr w:type="spellEnd"/>
          </w:p>
        </w:tc>
      </w:tr>
    </w:tbl>
    <w:p w:rsidR="00126BA3" w:rsidRDefault="00126BA3" w:rsidP="00126BA3">
      <w:pPr>
        <w:jc w:val="center"/>
        <w:rPr>
          <w:lang w:val="en-US"/>
        </w:rPr>
      </w:pPr>
    </w:p>
    <w:p w:rsidR="00126BA3" w:rsidRDefault="00126BA3" w:rsidP="00126BA3">
      <w:pPr>
        <w:jc w:val="center"/>
        <w:rPr>
          <w:lang w:val="en-US"/>
        </w:rPr>
      </w:pPr>
    </w:p>
    <w:p w:rsidR="00B74322" w:rsidRPr="003254DB" w:rsidRDefault="00B74322" w:rsidP="00126BA3">
      <w:pPr>
        <w:jc w:val="center"/>
        <w:rPr>
          <w:lang w:val="en-US"/>
        </w:rPr>
      </w:pPr>
    </w:p>
    <w:sectPr w:rsidR="00B74322" w:rsidRPr="003254DB" w:rsidSect="00126BA3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254DB"/>
    <w:rsid w:val="00126BA3"/>
    <w:rsid w:val="003254DB"/>
    <w:rsid w:val="0037365C"/>
    <w:rsid w:val="00825EC4"/>
    <w:rsid w:val="00A15627"/>
    <w:rsid w:val="00B74322"/>
    <w:rsid w:val="00E9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25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Bubu</cp:lastModifiedBy>
  <cp:revision>1</cp:revision>
  <dcterms:created xsi:type="dcterms:W3CDTF">2012-02-27T20:00:00Z</dcterms:created>
  <dcterms:modified xsi:type="dcterms:W3CDTF">2012-02-27T20:27:00Z</dcterms:modified>
</cp:coreProperties>
</file>